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1" w:rsidRDefault="00272D11" w:rsidP="00272D11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рассказал 15 фактов об оформлении недвижимости в регионе</w:t>
      </w:r>
    </w:p>
    <w:p w:rsidR="00272D11" w:rsidRDefault="00272D11" w:rsidP="00272D11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Управлении Росреестра по Республике Мордовия состоялось итоговое заседание коллегии по результатам работы в 2022 году и определению задач на 2023 год. Мероприятие прошло с участием представителей министерств и ведомств республики.</w:t>
      </w:r>
      <w:r>
        <w:t xml:space="preserve"> </w:t>
      </w:r>
    </w:p>
    <w:p w:rsidR="00272D11" w:rsidRDefault="00272D11" w:rsidP="00272D11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Заседание открыла руководитель Управления </w:t>
      </w:r>
      <w:r>
        <w:rPr>
          <w:rFonts w:ascii="Segoe UI" w:hAnsi="Segoe UI" w:cs="Segoe UI"/>
          <w:bCs/>
          <w:sz w:val="26"/>
          <w:szCs w:val="26"/>
        </w:rPr>
        <w:t xml:space="preserve">Светлана Балескова. Она сообщила, что </w:t>
      </w:r>
      <w:r>
        <w:rPr>
          <w:rFonts w:ascii="Segoe UI" w:hAnsi="Segoe UI" w:cs="Segoe UI"/>
          <w:sz w:val="26"/>
          <w:szCs w:val="26"/>
        </w:rPr>
        <w:t>2023 год для Росреестра Мордовии юбилейный - в декабре ведомству исполнится 15 лет. Кроме того, 31 января исполнилось 25 лет со дня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Светлана Балескова отметила, что в 2022 году Управление основное внимание уделяло реализации мероприятий, направленных на повышение качества оказания государственных услуг.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За год Управлением проведено более 170 тыс. учетно-регистрационных действий, из которых свыше 140 тыс. - государственная регистрация прав, более 36 тыс. - кадастровый учет, свыше 12 тыс. - единая процедура. По всем озвученным направлениям по сравнению с 2021 годом зафиксирован рост показателей.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На сегодняшний день в Мордовии значительная часть взаимодействия с заявителями осуществляется в электронном виде. В 2022 году подача электронных документов на государственную регистрацию увеличилась на 1%, на кадастровый учет - на 17%, на единую процедуру - на 6%.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 xml:space="preserve">С 2021 года Управление активно участвует в ведомственном проекте «Электронная ипотека за один день». В отчетном периоде доля сделок в рамках проекта за год составила 85% от общего количества электронных ипотек. При этом срок регистрации не превышал 24 часов. 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В 2022 году в республике продолжали выявлять земельные участки под жилищное строительство. Сегодня в перечне содержится 237 таких земельных участков и территорий на площади свыше 3,5 тыс. га. На публичной кадастровой карте размещены сведения о 163 земельных участках площадью более 1 тыс. га. Заинтересованным лицам предоставлено под индивидуальное жилищное строительство 82 участка площадью 12 га.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Отдельно Управление подвело итоги деятельности по осуществлению контрольно-надзорных функций, по направлениям геодезии, картографии и иным.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i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 xml:space="preserve">«Управление показало очень хорошие результаты деятельности в 2022 году.  Во многом это стало возможным благодаря коллективу, который </w:t>
      </w:r>
      <w:r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lastRenderedPageBreak/>
        <w:t>демонстрирует высокий уровень профессиональной подготовки, ответственный подход к работе, сплоченность и дисциплинированность. В текущем году Управлению предстоит решать не менее сложные и амбициозные задачи, что потребует напряженной работы во взаимодействии с органами власти федерального и республиканского уровня, а также органами местного самоуправления»</w:t>
      </w:r>
      <w:r>
        <w:rPr>
          <w:rFonts w:ascii="Segoe UI" w:eastAsia="Times New Roman" w:hAnsi="Segoe UI" w:cs="Segoe UI"/>
          <w:iCs/>
          <w:sz w:val="26"/>
          <w:szCs w:val="26"/>
          <w:lang w:eastAsia="ru-RU"/>
        </w:rPr>
        <w:t>, - отметил председатель Общественного совета при Управлении Алексей Фонов.</w:t>
      </w:r>
    </w:p>
    <w:p w:rsidR="00272D11" w:rsidRDefault="00272D11" w:rsidP="00272D11">
      <w:pPr>
        <w:spacing w:after="100" w:line="240" w:lineRule="auto"/>
        <w:jc w:val="both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На заседании коллегии были приняты решения по реализации направлений деятельности на 2023 год. Первоочередной задачей остается работа по повышению качества предоставления государственных услуг в учетно-регистрационной сфере.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По-прежнему в приоритете наполнение Единого государственного реестра недвижимости сведениями обо всех объектах, расположенных в Мордовии. Для этого ведется активная работа по достижению показателей дорожных карт и госпрограммы «Национальная система пространственных данных».</w:t>
      </w:r>
    </w:p>
    <w:p w:rsidR="00272D11" w:rsidRDefault="00272D11" w:rsidP="00272D11">
      <w:pPr>
        <w:spacing w:after="10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В завершение коллегии состоялось награждение сотрудников Управления за выдающиеся результаты в профессиональной деятельности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272D11"/>
    <w:rsid w:val="002F36E2"/>
    <w:rsid w:val="003E7177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E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10</cp:revision>
  <dcterms:created xsi:type="dcterms:W3CDTF">2022-11-15T09:19:00Z</dcterms:created>
  <dcterms:modified xsi:type="dcterms:W3CDTF">2023-02-15T13:53:00Z</dcterms:modified>
</cp:coreProperties>
</file>